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12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L’utilisation de l'ensemble des données Vigie-Nature École avec la plateforme 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Galaxy Bricks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12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825930" cy="108243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5930" cy="1082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12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Galaxy Bricks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permet d'accéder à l'ensemble des données produites par le réseau d'établissements qui contribuent au programme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Vigie-Nature École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et de les analyser avec des outils adaptés.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Galaxy Brick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donne la</w:t>
      </w:r>
      <w:r w:rsidDel="00000000" w:rsidR="00000000" w:rsidRPr="00000000">
        <w:rPr>
          <w:sz w:val="24"/>
          <w:szCs w:val="24"/>
          <w:rtl w:val="0"/>
        </w:rPr>
        <w:t xml:space="preserve"> possibilité d'interroger en temps réel la base de données Vigie-Nature École et de traiter les données avec des outils performants ne nécessitant aucune installation pour les utilisateurs.</w:t>
      </w:r>
    </w:p>
    <w:p w:rsidR="00000000" w:rsidDel="00000000" w:rsidP="00000000" w:rsidRDefault="00000000" w:rsidRPr="00000000" w14:paraId="00000004">
      <w:pPr>
        <w:shd w:fill="ffffff" w:val="clear"/>
        <w:spacing w:before="120" w:line="36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Cette plateforme est accessible à cette adresse 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https://bricks.vigienature-ecole.fr/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before="120" w:line="36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0" w:afterAutospacing="0" w:before="12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Objectifs pédagogiques : </w:t>
      </w:r>
      <w:r w:rsidDel="00000000" w:rsidR="00000000" w:rsidRPr="00000000">
        <w:rPr>
          <w:sz w:val="24"/>
          <w:szCs w:val="24"/>
          <w:rtl w:val="0"/>
        </w:rPr>
        <w:t xml:space="preserve">comprendre comment se déroule une analyse de données en écologie. Pratiquer des démarches scientifiques pour comprendre ce qui influence la biodiversité.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before="0" w:beforeAutospacing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Ancrages possibles dans les programmes : </w:t>
      </w:r>
    </w:p>
    <w:p w:rsidR="00000000" w:rsidDel="00000000" w:rsidP="00000000" w:rsidRDefault="00000000" w:rsidRPr="00000000" w14:paraId="00000008">
      <w:pPr>
        <w:shd w:fill="ffffff" w:val="clear"/>
        <w:spacing w:before="120"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220819" cy="33684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0819" cy="3368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Compétences numériques (compétences PIX) : </w:t>
      </w:r>
      <w:r w:rsidDel="00000000" w:rsidR="00000000" w:rsidRPr="00000000">
        <w:rPr>
          <w:sz w:val="24"/>
          <w:szCs w:val="24"/>
          <w:rtl w:val="0"/>
        </w:rPr>
        <w:t xml:space="preserve">Traiter des données : appliquer des traitements à des données pour les analyser et les interpréter.</w:t>
      </w:r>
    </w:p>
    <w:p w:rsidR="00000000" w:rsidDel="00000000" w:rsidP="00000000" w:rsidRDefault="00000000" w:rsidRPr="00000000" w14:paraId="0000000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b w:val="1"/>
          <w:sz w:val="24"/>
          <w:szCs w:val="24"/>
          <w:rtl w:val="0"/>
        </w:rPr>
        <w:t xml:space="preserve">njeux de formation scientifique et citoyenne des élèves 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Savoir identifier les questions de recherche.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Penser de façon critique et logique afin de construire des explications à partir de preuves.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Utiliser des outils pour analyser et interpréter les données, ré-analyser des situations complexes afin d'acquérir de nouvelles connaissances.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Amener les élèves à développer une façon de penser qui consiste à prendre en compte la nature des mesures scientifiques, leur incertitude et la variabilité qui leur est inhérente.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Analyser des données et déterminer si les conclusions s’appuient sur des preuves ou non.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Distinguer un effet significatif de la variabilité aléatoire (qui pourraient être à l'origine de conclusions non fondées). 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hd w:fill="ffffff" w:val="clear"/>
        <w:spacing w:before="0" w:beforeAutospacing="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 déroulé de l’analyse des données :</w:t>
      </w:r>
    </w:p>
    <w:tbl>
      <w:tblPr>
        <w:tblStyle w:val="Table1"/>
        <w:tblW w:w="7260.0" w:type="dxa"/>
        <w:jc w:val="left"/>
        <w:tblInd w:w="1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60"/>
        <w:tblGridChange w:id="0">
          <w:tblGrid>
            <w:gridCol w:w="7260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60" w:lineRule="auto"/>
              <w:jc w:val="center"/>
              <w:rPr>
                <w:b w:val="1"/>
                <w:color w:val="0b0108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b0108"/>
                <w:sz w:val="24"/>
                <w:szCs w:val="24"/>
                <w:u w:val="single"/>
                <w:rtl w:val="0"/>
              </w:rPr>
              <w:t xml:space="preserve">1- Définir une question de recherche</w:t>
            </w:r>
          </w:p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127906"/>
                <w:sz w:val="24"/>
                <w:szCs w:val="24"/>
                <w:rtl w:val="0"/>
              </w:rPr>
              <w:t xml:space="preserve">Faire preuve d’imagination et de créativité pour définir une question de recherche.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before="120" w:line="360" w:lineRule="auto"/>
        <w:ind w:left="0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60.0" w:type="dxa"/>
        <w:jc w:val="left"/>
        <w:tblInd w:w="1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60"/>
        <w:tblGridChange w:id="0">
          <w:tblGrid>
            <w:gridCol w:w="7260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80" w:lineRule="auto"/>
              <w:jc w:val="center"/>
              <w:rPr>
                <w:b w:val="1"/>
                <w:i w:val="1"/>
                <w:color w:val="0b0108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b0108"/>
                <w:sz w:val="24"/>
                <w:szCs w:val="24"/>
                <w:u w:val="single"/>
                <w:rtl w:val="0"/>
              </w:rPr>
              <w:t xml:space="preserve">2 - Importer des données</w:t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127906"/>
                <w:sz w:val="24"/>
                <w:szCs w:val="24"/>
                <w:rtl w:val="0"/>
              </w:rPr>
              <w:t xml:space="preserve">Importer des données parmi celles accessibles (Oiseaux des jardin, Placettes à vers de terre, Opération escargots, Sauvages de ma rue).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before="120" w:line="360" w:lineRule="auto"/>
        <w:ind w:left="0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260.0" w:type="dxa"/>
        <w:jc w:val="left"/>
        <w:tblInd w:w="1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60"/>
        <w:tblGridChange w:id="0">
          <w:tblGrid>
            <w:gridCol w:w="7260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60" w:lineRule="auto"/>
              <w:jc w:val="center"/>
              <w:rPr>
                <w:b w:val="1"/>
                <w:i w:val="1"/>
                <w:color w:val="0b0108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b0108"/>
                <w:sz w:val="24"/>
                <w:szCs w:val="24"/>
                <w:u w:val="single"/>
                <w:rtl w:val="0"/>
              </w:rPr>
              <w:t xml:space="preserve">3 - Manipuler des données</w:t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127906"/>
                <w:sz w:val="24"/>
                <w:szCs w:val="24"/>
                <w:rtl w:val="0"/>
              </w:rPr>
              <w:t xml:space="preserve">Utiliser des outils pour analyser et interpréter les données (résumer  (en fusionnant, en ne gardant pas toutes les informations…), trier, regrouper, calculer des moyennes…).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hd w:fill="ffffff" w:val="clear"/>
        <w:spacing w:before="120" w:line="360" w:lineRule="auto"/>
        <w:ind w:left="0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260.0" w:type="dxa"/>
        <w:jc w:val="left"/>
        <w:tblInd w:w="1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60"/>
        <w:tblGridChange w:id="0">
          <w:tblGrid>
            <w:gridCol w:w="7260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80" w:lineRule="auto"/>
              <w:jc w:val="center"/>
              <w:rPr>
                <w:b w:val="1"/>
                <w:i w:val="1"/>
                <w:color w:val="0b0108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b0108"/>
                <w:sz w:val="24"/>
                <w:szCs w:val="24"/>
                <w:u w:val="single"/>
                <w:rtl w:val="0"/>
              </w:rPr>
              <w:t xml:space="preserve">4 - Visualiser des données</w:t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127906"/>
                <w:sz w:val="24"/>
                <w:szCs w:val="24"/>
                <w:rtl w:val="0"/>
              </w:rPr>
              <w:t xml:space="preserve">Représenter des données pour les interpréter.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hd w:fill="ffffff" w:val="clear"/>
        <w:spacing w:before="120" w:line="360" w:lineRule="auto"/>
        <w:ind w:left="0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260.0" w:type="dxa"/>
        <w:jc w:val="left"/>
        <w:tblInd w:w="1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60"/>
        <w:tblGridChange w:id="0">
          <w:tblGrid>
            <w:gridCol w:w="7260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80" w:lineRule="auto"/>
              <w:jc w:val="center"/>
              <w:rPr>
                <w:b w:val="1"/>
                <w:i w:val="1"/>
                <w:color w:val="0b0108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b0108"/>
                <w:sz w:val="24"/>
                <w:szCs w:val="24"/>
                <w:u w:val="single"/>
                <w:rtl w:val="0"/>
              </w:rPr>
              <w:t xml:space="preserve">5 - Tests statistiques </w:t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127906"/>
                <w:sz w:val="24"/>
                <w:szCs w:val="24"/>
                <w:rtl w:val="0"/>
              </w:rPr>
              <w:t xml:space="preserve">Amener les élèves à développer une façon de penser qui consiste à prendre en compte la nature des mesures scientifiques, leur incertitude et la variabilité qui leur est inhérente.  Distinguer un effet significatif de la variabilité aléatoire (qui pourraient être à l'origine de conclusions non fondées).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hd w:fill="ffffff" w:val="clear"/>
        <w:spacing w:before="120" w:line="360" w:lineRule="auto"/>
        <w:ind w:left="0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60.0" w:type="dxa"/>
        <w:jc w:val="left"/>
        <w:tblInd w:w="1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60"/>
        <w:tblGridChange w:id="0">
          <w:tblGrid>
            <w:gridCol w:w="7260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80" w:lineRule="auto"/>
              <w:jc w:val="center"/>
              <w:rPr>
                <w:b w:val="1"/>
                <w:i w:val="1"/>
                <w:color w:val="0b0108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b0108"/>
                <w:sz w:val="24"/>
                <w:szCs w:val="24"/>
                <w:u w:val="single"/>
                <w:rtl w:val="0"/>
              </w:rPr>
              <w:t xml:space="preserve">6 - Conclusion</w:t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127906"/>
                <w:sz w:val="24"/>
                <w:szCs w:val="24"/>
                <w:rtl w:val="0"/>
              </w:rPr>
              <w:t xml:space="preserve">Analyser des données et déterminer si les conclusions s’appuient sur des preuves ou non.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hd w:fill="ffffff" w:val="clear"/>
        <w:spacing w:before="120" w:line="360" w:lineRule="auto"/>
        <w:ind w:left="0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260.0" w:type="dxa"/>
        <w:jc w:val="left"/>
        <w:tblInd w:w="1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60"/>
        <w:tblGridChange w:id="0">
          <w:tblGrid>
            <w:gridCol w:w="7260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80" w:lineRule="auto"/>
              <w:jc w:val="center"/>
              <w:rPr>
                <w:b w:val="1"/>
                <w:i w:val="1"/>
                <w:color w:val="0b0108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b0108"/>
                <w:sz w:val="24"/>
                <w:szCs w:val="24"/>
                <w:u w:val="single"/>
                <w:rtl w:val="0"/>
              </w:rPr>
              <w:t xml:space="preserve">7 - Rédiger un rapport</w:t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127906"/>
                <w:sz w:val="24"/>
                <w:szCs w:val="24"/>
                <w:rtl w:val="0"/>
              </w:rPr>
              <w:t xml:space="preserve">Communiquer la démarche de recherche.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spacing w:before="120" w:line="360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hd w:fill="ffffff" w:val="clear"/>
        <w:spacing w:after="0" w:afterAutospacing="0" w:before="120"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Ressources pour leur mise en oeuvre en classe :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before="0" w:before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comprendre comment sont organisées les données 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https://bricks.vigienature-ecole.fr/explorer/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before="0" w:before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essayer un ou plusieurs des </w:t>
      </w:r>
      <w:r w:rsidDel="00000000" w:rsidR="00000000" w:rsidRPr="00000000">
        <w:rPr>
          <w:b w:val="1"/>
          <w:sz w:val="24"/>
          <w:szCs w:val="24"/>
          <w:rtl w:val="0"/>
        </w:rPr>
        <w:t xml:space="preserve">scénarios disponibles</w:t>
      </w:r>
      <w:r w:rsidDel="00000000" w:rsidR="00000000" w:rsidRPr="00000000">
        <w:rPr>
          <w:sz w:val="24"/>
          <w:szCs w:val="24"/>
          <w:rtl w:val="0"/>
        </w:rPr>
        <w:t xml:space="preserve"> ici 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https://bricks.vigienature-ecole.fr/scenarios/</w:t>
        </w:r>
      </w:hyperlink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B">
      <w:pPr>
        <w:shd w:fill="ffffff" w:val="clear"/>
        <w:spacing w:before="120" w:line="360" w:lineRule="auto"/>
        <w:ind w:left="0" w:firstLine="72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Cette plateforme est nouvelle, n’hésitez pas à faire part de vos remarques à l’équipe de VigieNature Ecole : </w:t>
      </w:r>
      <w:hyperlink r:id="rId1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vne@mnhn.fr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689.6456692913421" w:top="992.1259842519685" w:left="992.1259842519685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ricks.vigienature-ecole.fr/explorer/" TargetMode="External"/><Relationship Id="rId10" Type="http://schemas.openxmlformats.org/officeDocument/2006/relationships/image" Target="media/image1.png"/><Relationship Id="rId13" Type="http://schemas.openxmlformats.org/officeDocument/2006/relationships/hyperlink" Target="mailto:vne@mnhn.fr" TargetMode="External"/><Relationship Id="rId12" Type="http://schemas.openxmlformats.org/officeDocument/2006/relationships/hyperlink" Target="https://bricks.vigienature-ecole.fr/scenario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ricks.vigienature-ecole.fr/" TargetMode="External"/><Relationship Id="rId5" Type="http://schemas.openxmlformats.org/officeDocument/2006/relationships/styles" Target="styles.xml"/><Relationship Id="rId6" Type="http://schemas.openxmlformats.org/officeDocument/2006/relationships/hyperlink" Target="https://bricks.vigienature-ecole.fr/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vigienature-ecole.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